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医学与健康学院试卷批阅及课程考核存档要求</w:t>
      </w:r>
    </w:p>
    <w:p>
      <w:pPr>
        <w:jc w:val="center"/>
        <w:rPr>
          <w:sz w:val="36"/>
          <w:szCs w:val="36"/>
        </w:rPr>
      </w:pPr>
    </w:p>
    <w:p>
      <w:pPr>
        <w:widowControl/>
        <w:spacing w:line="360" w:lineRule="auto"/>
        <w:ind w:firstLine="560" w:firstLineChars="200"/>
        <w:jc w:val="left"/>
        <w:rPr>
          <w:sz w:val="28"/>
          <w:szCs w:val="28"/>
        </w:rPr>
      </w:pPr>
      <w:r>
        <w:rPr>
          <w:rFonts w:hint="eastAsia"/>
          <w:sz w:val="28"/>
          <w:szCs w:val="28"/>
        </w:rPr>
        <w:t>为加强试卷的规范管理，所有教学计划规定课程的考核试卷的管理规定工作均由专业所需系（部）负责，所有考核试卷必须保存至学生毕业后三年，现对试卷的批阅、装订、存档工作提出如下要求：</w:t>
      </w:r>
    </w:p>
    <w:p>
      <w:pPr>
        <w:rPr>
          <w:rFonts w:ascii="黑体" w:hAnsi="黑体" w:eastAsia="黑体"/>
          <w:sz w:val="28"/>
          <w:szCs w:val="28"/>
        </w:rPr>
      </w:pPr>
      <w:r>
        <w:rPr>
          <w:rFonts w:hint="eastAsia" w:ascii="黑体" w:hAnsi="黑体" w:eastAsia="黑体"/>
          <w:sz w:val="28"/>
          <w:szCs w:val="28"/>
        </w:rPr>
        <w:t>一、试卷批阅</w:t>
      </w:r>
    </w:p>
    <w:p>
      <w:pPr>
        <w:widowControl/>
        <w:spacing w:line="360" w:lineRule="auto"/>
        <w:ind w:firstLine="560" w:firstLineChars="200"/>
        <w:jc w:val="left"/>
        <w:rPr>
          <w:sz w:val="28"/>
          <w:szCs w:val="28"/>
        </w:rPr>
      </w:pPr>
      <w:r>
        <w:rPr>
          <w:rFonts w:hint="eastAsia"/>
          <w:sz w:val="28"/>
          <w:szCs w:val="28"/>
        </w:rPr>
        <w:t>1.试卷批阅</w:t>
      </w:r>
      <w:r>
        <w:rPr>
          <w:sz w:val="28"/>
          <w:szCs w:val="28"/>
        </w:rPr>
        <w:t>一律用红墨水钢笔或红芯圆珠笔评阅记分</w:t>
      </w:r>
      <w:r>
        <w:rPr>
          <w:rFonts w:hint="eastAsia"/>
          <w:sz w:val="28"/>
          <w:szCs w:val="28"/>
        </w:rPr>
        <w:t>；阅卷记录填写试用蓝色/黑色墨水钢笔或蓝/黑芯圆珠笔。</w:t>
      </w:r>
    </w:p>
    <w:p>
      <w:pPr>
        <w:widowControl/>
        <w:spacing w:line="360" w:lineRule="auto"/>
        <w:ind w:firstLine="560" w:firstLineChars="200"/>
        <w:jc w:val="left"/>
        <w:rPr>
          <w:sz w:val="28"/>
          <w:szCs w:val="28"/>
        </w:rPr>
      </w:pPr>
      <w:r>
        <w:rPr>
          <w:rFonts w:hint="eastAsia"/>
          <w:sz w:val="28"/>
          <w:szCs w:val="28"/>
        </w:rPr>
        <w:t>2.批阅一律采用加分制，使用</w:t>
      </w:r>
      <w:r>
        <w:rPr>
          <w:sz w:val="28"/>
          <w:szCs w:val="28"/>
        </w:rPr>
        <w:t>阿拉伯数字记分，记分要准确、工整</w:t>
      </w:r>
      <w:r>
        <w:rPr>
          <w:rFonts w:hint="eastAsia"/>
          <w:sz w:val="28"/>
          <w:szCs w:val="28"/>
        </w:rPr>
        <w:t>，得分数字前必须使用“+”号；零分也需记录为“0”。</w:t>
      </w:r>
    </w:p>
    <w:p>
      <w:pPr>
        <w:widowControl/>
        <w:spacing w:line="360" w:lineRule="auto"/>
        <w:ind w:firstLine="560" w:firstLineChars="200"/>
        <w:jc w:val="left"/>
        <w:rPr>
          <w:sz w:val="28"/>
          <w:szCs w:val="28"/>
        </w:rPr>
      </w:pPr>
      <w:r>
        <w:rPr>
          <w:rFonts w:hint="eastAsia"/>
          <w:sz w:val="28"/>
          <w:szCs w:val="28"/>
        </w:rPr>
        <mc:AlternateContent>
          <mc:Choice Requires="wps">
            <w:drawing>
              <wp:anchor distT="0" distB="0" distL="114300" distR="114300" simplePos="0" relativeHeight="251659264" behindDoc="0" locked="0" layoutInCell="1" allowOverlap="1">
                <wp:simplePos x="0" y="0"/>
                <wp:positionH relativeFrom="column">
                  <wp:posOffset>428625</wp:posOffset>
                </wp:positionH>
                <wp:positionV relativeFrom="paragraph">
                  <wp:posOffset>506730</wp:posOffset>
                </wp:positionV>
                <wp:extent cx="114300" cy="133350"/>
                <wp:effectExtent l="0" t="0" r="19050" b="19050"/>
                <wp:wrapNone/>
                <wp:docPr id="3" name="直接连接符 3"/>
                <wp:cNvGraphicFramePr/>
                <a:graphic xmlns:a="http://schemas.openxmlformats.org/drawingml/2006/main">
                  <a:graphicData uri="http://schemas.microsoft.com/office/word/2010/wordprocessingShape">
                    <wps:wsp>
                      <wps:cNvCnPr/>
                      <wps:spPr>
                        <a:xfrm>
                          <a:off x="0" y="0"/>
                          <a:ext cx="114300" cy="133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3.75pt;margin-top:39.9pt;height:10.5pt;width:9pt;z-index:251659264;mso-width-relative:page;mso-height-relative:page;" filled="f" stroked="t" coordsize="21600,21600" o:gfxdata="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FM7K/XAAAACAEAAA8A&#10;AAAAAAAAAQAgAAAAIgAAAGRycy9kb3ducmV2LnhtbFBLAQIUABQAAAAIAIdO4kDqH8Qd3wEAAIkD&#10;AAAOAAAAAAAAAAEAIAAAACYBAABkcnMvZTJvRG9jLnhtbFBLBQYAAAAABgAGAFkBAAB3BQAAAAA=&#10;">
                <v:fill on="f" focussize="0,0"/>
                <v:stroke color="#4A7EBB [3204]" joinstyle="round"/>
                <v:imagedata o:title=""/>
                <o:lock v:ext="edit" aspectratio="f"/>
              </v:line>
            </w:pict>
          </mc:Fallback>
        </mc:AlternateContent>
      </w:r>
      <w:r>
        <w:rPr>
          <w:rFonts w:hint="eastAsia"/>
          <w:sz w:val="28"/>
          <w:szCs w:val="28"/>
        </w:rPr>
        <w:t>3.</w:t>
      </w:r>
      <w:r>
        <w:rPr>
          <w:sz w:val="28"/>
          <w:szCs w:val="28"/>
        </w:rPr>
        <w:t>严格执行标准答案和评分标准</w:t>
      </w:r>
      <w:r>
        <w:rPr>
          <w:rFonts w:hint="eastAsia"/>
          <w:sz w:val="28"/>
          <w:szCs w:val="28"/>
        </w:rPr>
        <w:t>，对、错标志符号分明，严禁出现“√”；</w:t>
      </w:r>
      <w:r>
        <w:rPr>
          <w:sz w:val="28"/>
          <w:szCs w:val="28"/>
        </w:rPr>
        <w:t>客观题的评阅，每道错误的小题必须用“</w:t>
      </w:r>
      <w:r>
        <w:rPr>
          <w:rFonts w:hint="eastAsia"/>
          <w:sz w:val="28"/>
          <w:szCs w:val="28"/>
        </w:rPr>
        <w:t>×</w:t>
      </w:r>
      <w:r>
        <w:rPr>
          <w:sz w:val="28"/>
          <w:szCs w:val="28"/>
        </w:rPr>
        <w:t>”标注；主观题的评阅需按评分点逐个评分，并标注相应位置，</w:t>
      </w:r>
      <w:r>
        <w:rPr>
          <w:rFonts w:hint="eastAsia"/>
          <w:sz w:val="28"/>
          <w:szCs w:val="28"/>
        </w:rPr>
        <w:t>题前统计</w:t>
      </w:r>
      <w:r>
        <w:rPr>
          <w:sz w:val="28"/>
          <w:szCs w:val="28"/>
        </w:rPr>
        <w:t>每小题得分。</w:t>
      </w:r>
    </w:p>
    <w:p>
      <w:pPr>
        <w:widowControl/>
        <w:spacing w:line="360" w:lineRule="auto"/>
        <w:ind w:firstLine="560" w:firstLineChars="200"/>
        <w:jc w:val="left"/>
        <w:rPr>
          <w:sz w:val="28"/>
          <w:szCs w:val="28"/>
        </w:rPr>
      </w:pPr>
      <w:r>
        <w:rPr>
          <w:rFonts w:hint="eastAsia"/>
          <w:sz w:val="28"/>
          <w:szCs w:val="28"/>
        </w:rPr>
        <w:t>4.</w:t>
      </w:r>
      <w:r>
        <w:rPr>
          <w:sz w:val="28"/>
          <w:szCs w:val="28"/>
        </w:rPr>
        <w:t>每大题要有一个总得分，标注在该大题的</w:t>
      </w:r>
      <w:r>
        <w:rPr>
          <w:rFonts w:hint="eastAsia"/>
          <w:sz w:val="28"/>
          <w:szCs w:val="28"/>
        </w:rPr>
        <w:t>左侧题前</w:t>
      </w:r>
      <w:r>
        <w:rPr>
          <w:sz w:val="28"/>
          <w:szCs w:val="28"/>
        </w:rPr>
        <w:t>位置，且须与试卷首页题号得分栏一致。</w:t>
      </w:r>
    </w:p>
    <w:p>
      <w:pPr>
        <w:widowControl/>
        <w:spacing w:line="360" w:lineRule="auto"/>
        <w:ind w:firstLine="560" w:firstLineChars="200"/>
        <w:jc w:val="left"/>
        <w:rPr>
          <w:sz w:val="28"/>
          <w:szCs w:val="28"/>
        </w:rPr>
      </w:pPr>
      <w:r>
        <w:rPr>
          <w:rFonts w:hint="eastAsia"/>
          <w:sz w:val="28"/>
          <w:szCs w:val="28"/>
        </w:rPr>
        <w:t>5.认真填写试卷存档封面阅卷记录，评阅人、核分人、成绩汇总人、总分复核人需本人签字；多人同时阅卷的需同时签字并做好记录。</w:t>
      </w:r>
    </w:p>
    <w:p>
      <w:pPr>
        <w:widowControl/>
        <w:spacing w:line="360" w:lineRule="auto"/>
        <w:ind w:firstLine="560" w:firstLineChars="200"/>
        <w:jc w:val="left"/>
        <w:rPr>
          <w:sz w:val="28"/>
          <w:szCs w:val="28"/>
        </w:rPr>
      </w:pPr>
      <w:r>
        <w:rPr>
          <w:rFonts w:hint="eastAsia"/>
          <w:sz w:val="28"/>
          <w:szCs w:val="28"/>
        </w:rPr>
        <w:t>6.</w:t>
      </w:r>
      <w:r>
        <w:rPr>
          <w:sz w:val="28"/>
          <w:szCs w:val="28"/>
        </w:rPr>
        <w:t xml:space="preserve"> 学生试卷</w:t>
      </w:r>
      <w:r>
        <w:rPr>
          <w:rFonts w:hint="eastAsia"/>
          <w:sz w:val="28"/>
          <w:szCs w:val="28"/>
        </w:rPr>
        <w:t>批阅得分一经评定，不得随意更改，如确需改动，应在所有改动处签名，签名需工整。</w:t>
      </w:r>
    </w:p>
    <w:p>
      <w:pPr>
        <w:rPr>
          <w:rFonts w:ascii="黑体" w:hAnsi="黑体" w:eastAsia="黑体"/>
          <w:sz w:val="28"/>
          <w:szCs w:val="28"/>
        </w:rPr>
      </w:pPr>
      <w:r>
        <w:rPr>
          <w:rFonts w:hint="eastAsia" w:ascii="黑体" w:hAnsi="黑体" w:eastAsia="黑体"/>
          <w:sz w:val="28"/>
          <w:szCs w:val="28"/>
        </w:rPr>
        <w:t>二、试卷分析与评估</w:t>
      </w:r>
    </w:p>
    <w:p>
      <w:pPr>
        <w:widowControl/>
        <w:spacing w:line="360" w:lineRule="auto"/>
        <w:ind w:firstLine="560" w:firstLineChars="200"/>
        <w:jc w:val="left"/>
        <w:rPr>
          <w:sz w:val="28"/>
          <w:szCs w:val="28"/>
        </w:rPr>
      </w:pPr>
      <w:r>
        <w:rPr>
          <w:rFonts w:hint="eastAsia"/>
          <w:sz w:val="28"/>
          <w:szCs w:val="28"/>
        </w:rPr>
        <w:t>1.任课教师登陆完学生成绩后，应对所任课学生总体成绩情况进行相关分析，并填写“试卷质量分析表”（见附件1）。A4纸打印。</w:t>
      </w:r>
    </w:p>
    <w:p>
      <w:pPr>
        <w:widowControl/>
        <w:spacing w:line="360" w:lineRule="auto"/>
        <w:ind w:firstLine="560" w:firstLineChars="200"/>
        <w:jc w:val="left"/>
        <w:rPr>
          <w:sz w:val="28"/>
          <w:szCs w:val="28"/>
        </w:rPr>
      </w:pPr>
      <w:r>
        <w:rPr>
          <w:rFonts w:hint="eastAsia"/>
          <w:sz w:val="28"/>
          <w:szCs w:val="28"/>
        </w:rPr>
        <w:t>2.考试成绩一般应符合正态分布规律，优秀率原则上需控制在1/4以内，若成绩符合正态分布，如优秀率或不及格率偏高，任课教师应对此进行分析和总结，填写《考试成绩分析表》（见附件2）并提交说明报告，制定改进措施。</w:t>
      </w:r>
    </w:p>
    <w:p>
      <w:pPr>
        <w:widowControl/>
        <w:spacing w:line="360" w:lineRule="auto"/>
        <w:ind w:firstLine="560" w:firstLineChars="200"/>
        <w:jc w:val="left"/>
        <w:rPr>
          <w:sz w:val="28"/>
          <w:szCs w:val="28"/>
        </w:rPr>
      </w:pPr>
      <w:r>
        <w:rPr>
          <w:rFonts w:hint="eastAsia"/>
          <w:sz w:val="28"/>
          <w:szCs w:val="28"/>
        </w:rPr>
        <w:t>3.任课教师上交试卷和试卷分析报告后，各学系（部）应定期组织教师对考试科目的试卷进行综合评价，对命题的质量（试卷的覆盖面、题型、题量等）和阅卷质量进行总体分析和评估。</w:t>
      </w:r>
    </w:p>
    <w:p>
      <w:pPr>
        <w:widowControl/>
        <w:spacing w:line="360" w:lineRule="auto"/>
        <w:ind w:firstLine="560" w:firstLineChars="200"/>
        <w:jc w:val="left"/>
        <w:rPr>
          <w:sz w:val="28"/>
          <w:szCs w:val="28"/>
        </w:rPr>
      </w:pPr>
      <w:r>
        <w:rPr>
          <w:rFonts w:hint="eastAsia"/>
          <w:sz w:val="28"/>
          <w:szCs w:val="28"/>
        </w:rPr>
        <w:t>4.每学期初督导评估中心负责组织有关专家对各学系（部）等量随机抽取的上学期部分试卷进行综合评估，并通报评估结果。</w:t>
      </w:r>
    </w:p>
    <w:p>
      <w:pPr>
        <w:rPr>
          <w:rFonts w:ascii="黑体" w:hAnsi="黑体" w:eastAsia="黑体"/>
          <w:sz w:val="28"/>
          <w:szCs w:val="28"/>
        </w:rPr>
      </w:pPr>
      <w:r>
        <w:rPr>
          <w:rFonts w:hint="eastAsia" w:ascii="黑体" w:hAnsi="黑体" w:eastAsia="黑体"/>
          <w:sz w:val="28"/>
          <w:szCs w:val="28"/>
        </w:rPr>
        <w:t>三、试卷装订归档</w:t>
      </w:r>
    </w:p>
    <w:p>
      <w:pPr>
        <w:widowControl/>
        <w:spacing w:line="360" w:lineRule="auto"/>
        <w:ind w:firstLine="560" w:firstLineChars="200"/>
        <w:jc w:val="left"/>
        <w:rPr>
          <w:sz w:val="28"/>
          <w:szCs w:val="28"/>
        </w:rPr>
      </w:pPr>
      <w:r>
        <w:rPr>
          <w:rFonts w:hint="eastAsia"/>
          <w:sz w:val="28"/>
          <w:szCs w:val="28"/>
        </w:rPr>
        <w:t>试卷装订主要指笔试试卷。采用操作、实验实训报告、论文及设计和上机等各种考核方式作为最终性评价/期末考试成绩的，也需统一装订。试卷归档包括考试、考查及补考、重修等各类考核。</w:t>
      </w:r>
    </w:p>
    <w:p>
      <w:pPr>
        <w:widowControl/>
        <w:spacing w:line="360" w:lineRule="auto"/>
        <w:ind w:firstLine="560" w:firstLineChars="200"/>
        <w:jc w:val="left"/>
        <w:rPr>
          <w:sz w:val="28"/>
          <w:szCs w:val="28"/>
        </w:rPr>
      </w:pPr>
      <w:r>
        <w:rPr>
          <w:rFonts w:hint="eastAsia"/>
          <w:sz w:val="28"/>
          <w:szCs w:val="28"/>
        </w:rPr>
        <w:t>1.试卷装订</w:t>
      </w:r>
    </w:p>
    <w:p>
      <w:pPr>
        <w:widowControl/>
        <w:spacing w:line="360" w:lineRule="auto"/>
        <w:ind w:firstLine="560" w:firstLineChars="200"/>
        <w:jc w:val="left"/>
        <w:rPr>
          <w:sz w:val="28"/>
          <w:szCs w:val="28"/>
        </w:rPr>
      </w:pPr>
      <w:r>
        <w:rPr>
          <w:rFonts w:hint="eastAsia"/>
          <w:sz w:val="28"/>
          <w:szCs w:val="28"/>
        </w:rPr>
        <w:t>试卷装订要求将“试卷归档封面”（见附件3）、学生试卷按照考场序号排列装订。填写要求详细，特殊情况请做好说明。</w:t>
      </w:r>
    </w:p>
    <w:p>
      <w:pPr>
        <w:widowControl/>
        <w:spacing w:line="360" w:lineRule="auto"/>
        <w:ind w:firstLine="560" w:firstLineChars="200"/>
        <w:jc w:val="left"/>
        <w:rPr>
          <w:sz w:val="28"/>
          <w:szCs w:val="28"/>
        </w:rPr>
      </w:pPr>
      <w:r>
        <w:rPr>
          <w:rFonts w:hint="eastAsia"/>
          <w:sz w:val="28"/>
          <w:szCs w:val="28"/>
        </w:rPr>
        <w:t>2.试卷资料归档</w:t>
      </w:r>
    </w:p>
    <w:p>
      <w:pPr>
        <w:widowControl/>
        <w:spacing w:line="360" w:lineRule="auto"/>
        <w:ind w:firstLine="560" w:firstLineChars="200"/>
        <w:jc w:val="left"/>
        <w:rPr>
          <w:sz w:val="28"/>
          <w:szCs w:val="28"/>
        </w:rPr>
      </w:pPr>
      <w:r>
        <w:rPr>
          <w:rFonts w:hint="eastAsia"/>
          <w:sz w:val="28"/>
          <w:szCs w:val="28"/>
        </w:rPr>
        <w:t>2.1 试卷按照考场记录单的顺序排列。同一门课程使用同一份考试试卷的为单课程班级，试卷按照单课程班装袋，并填写第几袋，共几袋，除试卷和平时成绩支持材料外的附件材料全部装入第1袋。试卷袋封面张贴详见附件《试卷归档材料封面》（见附件4）。</w:t>
      </w:r>
    </w:p>
    <w:p>
      <w:pPr>
        <w:widowControl/>
        <w:spacing w:line="360" w:lineRule="auto"/>
        <w:ind w:firstLine="560" w:firstLineChars="200"/>
        <w:jc w:val="left"/>
        <w:rPr>
          <w:sz w:val="28"/>
          <w:szCs w:val="28"/>
        </w:rPr>
      </w:pPr>
      <w:r>
        <w:rPr>
          <w:rFonts w:hint="eastAsia"/>
          <w:sz w:val="28"/>
          <w:szCs w:val="28"/>
        </w:rPr>
        <w:t>2.2 成绩登记表为成绩录入教务管理系统后A4纸打印，内容包含平时成绩、试卷卷面成绩/期末考试成绩、总成绩以及总成绩的构成方法。成绩登记表打印后必须签字签章。</w:t>
      </w:r>
    </w:p>
    <w:p>
      <w:pPr>
        <w:widowControl/>
        <w:spacing w:line="360" w:lineRule="auto"/>
        <w:ind w:firstLine="560" w:firstLineChars="200"/>
        <w:jc w:val="left"/>
        <w:rPr>
          <w:sz w:val="28"/>
          <w:szCs w:val="28"/>
        </w:rPr>
      </w:pPr>
      <w:r>
        <w:rPr>
          <w:rFonts w:hint="eastAsia"/>
          <w:sz w:val="28"/>
          <w:szCs w:val="28"/>
        </w:rPr>
        <w:t>2.3  A/B空白试卷、评分标准、参考答案等各一份，A4纸打印。</w:t>
      </w:r>
      <w:r>
        <w:rPr>
          <w:rFonts w:hint="eastAsia"/>
          <w:color w:val="FF0000"/>
          <w:sz w:val="28"/>
          <w:szCs w:val="28"/>
        </w:rPr>
        <w:t>课程的评分标准/标准答案格式详见附件5。</w:t>
      </w:r>
    </w:p>
    <w:p>
      <w:pPr>
        <w:widowControl/>
        <w:spacing w:line="360" w:lineRule="auto"/>
        <w:ind w:firstLine="560" w:firstLineChars="200"/>
        <w:jc w:val="left"/>
        <w:rPr>
          <w:sz w:val="28"/>
          <w:szCs w:val="28"/>
        </w:rPr>
      </w:pPr>
      <w:r>
        <w:rPr>
          <w:rFonts w:hint="eastAsia"/>
          <w:sz w:val="28"/>
          <w:szCs w:val="28"/>
        </w:rPr>
        <w:t>2.4 重修、补考试卷独立装袋，并在试卷袋封面注明，无须其他支撑材料。</w:t>
      </w:r>
    </w:p>
    <w:p>
      <w:pPr>
        <w:widowControl/>
        <w:spacing w:line="360" w:lineRule="auto"/>
        <w:ind w:firstLine="560" w:firstLineChars="200"/>
        <w:jc w:val="left"/>
        <w:rPr>
          <w:sz w:val="28"/>
          <w:szCs w:val="28"/>
        </w:rPr>
      </w:pPr>
      <w:r>
        <w:rPr>
          <w:rFonts w:hint="eastAsia"/>
          <w:sz w:val="28"/>
          <w:szCs w:val="28"/>
        </w:rPr>
        <w:t>2.5 平时成绩评定方法（详见附件7）A4纸打印，考查内容可由教师根据课程标准中考核方式和《丽水学院医学与健康学院有关课程考核的补充规定》的相关规定，结合实际教学安排填写。各考查内容所占分值可根据实际情况进行调整。平时成绩所列考核内容均需有支撑材料，作业、报告或者小论文等各类支撑材料一并归档。平时成绩支撑材料按照教学班一次一装订，统一封面和格式（见附件8-11）。</w:t>
      </w:r>
    </w:p>
    <w:p>
      <w:pPr>
        <w:widowControl/>
        <w:spacing w:line="360" w:lineRule="auto"/>
        <w:ind w:firstLine="560" w:firstLineChars="200"/>
        <w:jc w:val="left"/>
        <w:rPr>
          <w:sz w:val="28"/>
          <w:szCs w:val="28"/>
        </w:rPr>
      </w:pPr>
      <w:r>
        <w:rPr>
          <w:rFonts w:hint="eastAsia"/>
          <w:sz w:val="28"/>
          <w:szCs w:val="28"/>
        </w:rPr>
        <w:t>2.6 上机等网络测试的课程，需要提交题库情况说明，包括题库容量、题目类型、命题方式、系统运行环境等，并在试卷归档材料封面备注上说明。</w:t>
      </w:r>
    </w:p>
    <w:p>
      <w:pPr>
        <w:widowControl/>
        <w:spacing w:line="360" w:lineRule="auto"/>
        <w:ind w:firstLine="560" w:firstLineChars="200"/>
        <w:jc w:val="left"/>
        <w:rPr>
          <w:sz w:val="28"/>
          <w:szCs w:val="28"/>
        </w:rPr>
      </w:pPr>
      <w:r>
        <w:rPr>
          <w:rFonts w:hint="eastAsia"/>
          <w:sz w:val="28"/>
          <w:szCs w:val="28"/>
        </w:rPr>
        <w:t>3.试卷归档要求</w:t>
      </w:r>
    </w:p>
    <w:p>
      <w:pPr>
        <w:widowControl/>
        <w:spacing w:line="360" w:lineRule="auto"/>
        <w:ind w:firstLine="560" w:firstLineChars="200"/>
        <w:jc w:val="left"/>
        <w:rPr>
          <w:sz w:val="28"/>
          <w:szCs w:val="28"/>
        </w:rPr>
      </w:pPr>
      <w:r>
        <w:rPr>
          <w:rFonts w:hint="eastAsia"/>
          <w:sz w:val="28"/>
          <w:szCs w:val="28"/>
        </w:rPr>
        <w:t>各学系(部)将整理好的试卷统一编号、统一保管。试卷编号采用学年-学期-专业代码-考核形式类别代码-课程顺序号。其中学年采用4位阿拉伯数字，学期采用1位阿拉伯数字，顺序号采用3为阿拉伯数字，专业代码及考核形式类别代码如下表：</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238"/>
        <w:gridCol w:w="537"/>
        <w:gridCol w:w="739"/>
        <w:gridCol w:w="1036"/>
        <w:gridCol w:w="98"/>
        <w:gridCol w:w="1677"/>
        <w:gridCol w:w="307"/>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1422" w:type="dxa"/>
            <w:vAlign w:val="center"/>
          </w:tcPr>
          <w:p>
            <w:pPr>
              <w:widowControl/>
              <w:jc w:val="center"/>
              <w:rPr>
                <w:sz w:val="24"/>
                <w:szCs w:val="24"/>
              </w:rPr>
            </w:pPr>
            <w:r>
              <w:rPr>
                <w:rFonts w:hint="eastAsia"/>
                <w:sz w:val="24"/>
                <w:szCs w:val="24"/>
              </w:rPr>
              <w:t>专业名称</w:t>
            </w:r>
          </w:p>
        </w:tc>
        <w:tc>
          <w:tcPr>
            <w:tcW w:w="1238" w:type="dxa"/>
            <w:vAlign w:val="center"/>
          </w:tcPr>
          <w:p>
            <w:pPr>
              <w:widowControl/>
              <w:jc w:val="center"/>
              <w:rPr>
                <w:sz w:val="24"/>
                <w:szCs w:val="24"/>
              </w:rPr>
            </w:pPr>
            <w:r>
              <w:rPr>
                <w:rFonts w:hint="eastAsia"/>
                <w:sz w:val="24"/>
                <w:szCs w:val="24"/>
              </w:rPr>
              <w:t>口腔医学</w:t>
            </w:r>
          </w:p>
        </w:tc>
        <w:tc>
          <w:tcPr>
            <w:tcW w:w="1276" w:type="dxa"/>
            <w:gridSpan w:val="2"/>
            <w:vAlign w:val="center"/>
          </w:tcPr>
          <w:p>
            <w:pPr>
              <w:widowControl/>
              <w:jc w:val="center"/>
              <w:rPr>
                <w:sz w:val="24"/>
                <w:szCs w:val="24"/>
              </w:rPr>
            </w:pPr>
            <w:r>
              <w:rPr>
                <w:rFonts w:hint="eastAsia"/>
                <w:sz w:val="24"/>
                <w:szCs w:val="24"/>
              </w:rPr>
              <w:t>临床医学</w:t>
            </w:r>
          </w:p>
        </w:tc>
        <w:tc>
          <w:tcPr>
            <w:tcW w:w="1134" w:type="dxa"/>
            <w:gridSpan w:val="2"/>
            <w:vAlign w:val="center"/>
          </w:tcPr>
          <w:p>
            <w:pPr>
              <w:widowControl/>
              <w:jc w:val="center"/>
              <w:rPr>
                <w:sz w:val="24"/>
                <w:szCs w:val="24"/>
              </w:rPr>
            </w:pPr>
            <w:r>
              <w:rPr>
                <w:rFonts w:hint="eastAsia"/>
                <w:sz w:val="24"/>
                <w:szCs w:val="24"/>
              </w:rPr>
              <w:t>护理学</w:t>
            </w:r>
          </w:p>
        </w:tc>
        <w:tc>
          <w:tcPr>
            <w:tcW w:w="1984" w:type="dxa"/>
            <w:gridSpan w:val="2"/>
            <w:vAlign w:val="center"/>
          </w:tcPr>
          <w:p>
            <w:pPr>
              <w:widowControl/>
              <w:rPr>
                <w:sz w:val="24"/>
                <w:szCs w:val="24"/>
              </w:rPr>
            </w:pPr>
            <w:r>
              <w:rPr>
                <w:rFonts w:hint="eastAsia"/>
                <w:sz w:val="24"/>
                <w:szCs w:val="24"/>
              </w:rPr>
              <w:t>护理学（中外合作）-瑞典</w:t>
            </w:r>
          </w:p>
        </w:tc>
        <w:tc>
          <w:tcPr>
            <w:tcW w:w="1468" w:type="dxa"/>
            <w:vAlign w:val="center"/>
          </w:tcPr>
          <w:p>
            <w:pPr>
              <w:widowControl/>
              <w:jc w:val="center"/>
              <w:rPr>
                <w:sz w:val="24"/>
                <w:szCs w:val="24"/>
              </w:rPr>
            </w:pPr>
            <w:r>
              <w:rPr>
                <w:rFonts w:hint="eastAsia"/>
                <w:sz w:val="24"/>
                <w:szCs w:val="24"/>
              </w:rPr>
              <w:t>康复治疗学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1422" w:type="dxa"/>
            <w:vAlign w:val="center"/>
          </w:tcPr>
          <w:p>
            <w:pPr>
              <w:widowControl/>
              <w:jc w:val="center"/>
              <w:rPr>
                <w:sz w:val="24"/>
                <w:szCs w:val="24"/>
              </w:rPr>
            </w:pPr>
            <w:r>
              <w:rPr>
                <w:rFonts w:hint="eastAsia"/>
                <w:sz w:val="24"/>
                <w:szCs w:val="24"/>
              </w:rPr>
              <w:t>代码</w:t>
            </w:r>
          </w:p>
        </w:tc>
        <w:tc>
          <w:tcPr>
            <w:tcW w:w="1238" w:type="dxa"/>
            <w:vAlign w:val="center"/>
          </w:tcPr>
          <w:p>
            <w:pPr>
              <w:widowControl/>
              <w:jc w:val="center"/>
              <w:rPr>
                <w:sz w:val="24"/>
                <w:szCs w:val="24"/>
              </w:rPr>
            </w:pPr>
            <w:r>
              <w:rPr>
                <w:rFonts w:hint="eastAsia"/>
                <w:sz w:val="24"/>
                <w:szCs w:val="24"/>
              </w:rPr>
              <w:t>KQ</w:t>
            </w:r>
          </w:p>
        </w:tc>
        <w:tc>
          <w:tcPr>
            <w:tcW w:w="1276" w:type="dxa"/>
            <w:gridSpan w:val="2"/>
            <w:vAlign w:val="center"/>
          </w:tcPr>
          <w:p>
            <w:pPr>
              <w:widowControl/>
              <w:jc w:val="center"/>
              <w:rPr>
                <w:sz w:val="24"/>
                <w:szCs w:val="24"/>
              </w:rPr>
            </w:pPr>
            <w:r>
              <w:rPr>
                <w:rFonts w:hint="eastAsia"/>
                <w:sz w:val="24"/>
                <w:szCs w:val="24"/>
              </w:rPr>
              <w:t>LC</w:t>
            </w:r>
          </w:p>
        </w:tc>
        <w:tc>
          <w:tcPr>
            <w:tcW w:w="1134" w:type="dxa"/>
            <w:gridSpan w:val="2"/>
            <w:vAlign w:val="center"/>
          </w:tcPr>
          <w:p>
            <w:pPr>
              <w:widowControl/>
              <w:jc w:val="center"/>
              <w:rPr>
                <w:sz w:val="24"/>
                <w:szCs w:val="24"/>
              </w:rPr>
            </w:pPr>
            <w:r>
              <w:rPr>
                <w:rFonts w:hint="eastAsia"/>
                <w:sz w:val="24"/>
                <w:szCs w:val="24"/>
              </w:rPr>
              <w:t>HL</w:t>
            </w:r>
          </w:p>
        </w:tc>
        <w:tc>
          <w:tcPr>
            <w:tcW w:w="1984" w:type="dxa"/>
            <w:gridSpan w:val="2"/>
            <w:vAlign w:val="center"/>
          </w:tcPr>
          <w:p>
            <w:pPr>
              <w:widowControl/>
              <w:jc w:val="center"/>
              <w:rPr>
                <w:sz w:val="24"/>
                <w:szCs w:val="24"/>
              </w:rPr>
            </w:pPr>
            <w:r>
              <w:rPr>
                <w:rFonts w:hint="eastAsia"/>
                <w:sz w:val="24"/>
                <w:szCs w:val="24"/>
              </w:rPr>
              <w:t>HLZR</w:t>
            </w:r>
          </w:p>
        </w:tc>
        <w:tc>
          <w:tcPr>
            <w:tcW w:w="1468" w:type="dxa"/>
            <w:vAlign w:val="center"/>
          </w:tcPr>
          <w:p>
            <w:pPr>
              <w:widowControl/>
              <w:jc w:val="center"/>
              <w:rPr>
                <w:sz w:val="24"/>
                <w:szCs w:val="24"/>
              </w:rPr>
            </w:pPr>
            <w:r>
              <w:rPr>
                <w:rFonts w:hint="eastAsia"/>
                <w:sz w:val="24"/>
                <w:szCs w:val="24"/>
              </w:rPr>
              <w:t>KF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1422" w:type="dxa"/>
            <w:vAlign w:val="center"/>
          </w:tcPr>
          <w:p>
            <w:pPr>
              <w:widowControl/>
              <w:jc w:val="center"/>
              <w:rPr>
                <w:sz w:val="24"/>
                <w:szCs w:val="24"/>
              </w:rPr>
            </w:pPr>
            <w:r>
              <w:rPr>
                <w:rFonts w:hint="eastAsia"/>
                <w:sz w:val="24"/>
                <w:szCs w:val="24"/>
              </w:rPr>
              <w:t>考核形式类别</w:t>
            </w:r>
          </w:p>
        </w:tc>
        <w:tc>
          <w:tcPr>
            <w:tcW w:w="1775" w:type="dxa"/>
            <w:gridSpan w:val="2"/>
            <w:vAlign w:val="center"/>
          </w:tcPr>
          <w:p>
            <w:pPr>
              <w:widowControl/>
              <w:jc w:val="center"/>
              <w:rPr>
                <w:sz w:val="24"/>
                <w:szCs w:val="24"/>
              </w:rPr>
            </w:pPr>
            <w:r>
              <w:rPr>
                <w:rFonts w:hint="eastAsia"/>
                <w:sz w:val="24"/>
                <w:szCs w:val="24"/>
              </w:rPr>
              <w:t>试卷</w:t>
            </w:r>
          </w:p>
        </w:tc>
        <w:tc>
          <w:tcPr>
            <w:tcW w:w="1775" w:type="dxa"/>
            <w:gridSpan w:val="2"/>
            <w:vAlign w:val="center"/>
          </w:tcPr>
          <w:p>
            <w:pPr>
              <w:widowControl/>
              <w:jc w:val="center"/>
              <w:rPr>
                <w:sz w:val="24"/>
                <w:szCs w:val="24"/>
              </w:rPr>
            </w:pPr>
            <w:r>
              <w:rPr>
                <w:rFonts w:hint="eastAsia"/>
                <w:sz w:val="24"/>
                <w:szCs w:val="24"/>
              </w:rPr>
              <w:t>实验实训实习等各类报告</w:t>
            </w:r>
          </w:p>
        </w:tc>
        <w:tc>
          <w:tcPr>
            <w:tcW w:w="1775" w:type="dxa"/>
            <w:gridSpan w:val="2"/>
            <w:vAlign w:val="center"/>
          </w:tcPr>
          <w:p>
            <w:pPr>
              <w:widowControl/>
              <w:jc w:val="center"/>
              <w:rPr>
                <w:sz w:val="24"/>
                <w:szCs w:val="24"/>
              </w:rPr>
            </w:pPr>
            <w:r>
              <w:rPr>
                <w:rFonts w:hint="eastAsia"/>
                <w:sz w:val="24"/>
                <w:szCs w:val="24"/>
              </w:rPr>
              <w:t>论文</w:t>
            </w:r>
          </w:p>
        </w:tc>
        <w:tc>
          <w:tcPr>
            <w:tcW w:w="1775" w:type="dxa"/>
            <w:gridSpan w:val="2"/>
            <w:vAlign w:val="center"/>
          </w:tcPr>
          <w:p>
            <w:pPr>
              <w:widowControl/>
              <w:jc w:val="center"/>
              <w:rPr>
                <w:sz w:val="24"/>
                <w:szCs w:val="24"/>
              </w:rPr>
            </w:pPr>
            <w:r>
              <w:rPr>
                <w:rFonts w:hint="eastAsia"/>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1422" w:type="dxa"/>
            <w:vAlign w:val="center"/>
          </w:tcPr>
          <w:p>
            <w:pPr>
              <w:widowControl/>
              <w:jc w:val="center"/>
              <w:rPr>
                <w:sz w:val="24"/>
                <w:szCs w:val="24"/>
              </w:rPr>
            </w:pPr>
            <w:r>
              <w:rPr>
                <w:rFonts w:hint="eastAsia"/>
                <w:sz w:val="24"/>
                <w:szCs w:val="24"/>
              </w:rPr>
              <w:t>代码</w:t>
            </w:r>
          </w:p>
        </w:tc>
        <w:tc>
          <w:tcPr>
            <w:tcW w:w="1775" w:type="dxa"/>
            <w:gridSpan w:val="2"/>
            <w:vAlign w:val="center"/>
          </w:tcPr>
          <w:p>
            <w:pPr>
              <w:widowControl/>
              <w:jc w:val="center"/>
              <w:rPr>
                <w:sz w:val="24"/>
                <w:szCs w:val="24"/>
              </w:rPr>
            </w:pPr>
            <w:r>
              <w:rPr>
                <w:rFonts w:hint="eastAsia"/>
                <w:sz w:val="24"/>
                <w:szCs w:val="24"/>
              </w:rPr>
              <w:t>SJ</w:t>
            </w:r>
          </w:p>
        </w:tc>
        <w:tc>
          <w:tcPr>
            <w:tcW w:w="1775" w:type="dxa"/>
            <w:gridSpan w:val="2"/>
            <w:vAlign w:val="center"/>
          </w:tcPr>
          <w:p>
            <w:pPr>
              <w:widowControl/>
              <w:jc w:val="center"/>
              <w:rPr>
                <w:sz w:val="24"/>
                <w:szCs w:val="24"/>
              </w:rPr>
            </w:pPr>
            <w:r>
              <w:rPr>
                <w:rFonts w:hint="eastAsia"/>
                <w:sz w:val="24"/>
                <w:szCs w:val="24"/>
              </w:rPr>
              <w:t>BG</w:t>
            </w:r>
          </w:p>
        </w:tc>
        <w:tc>
          <w:tcPr>
            <w:tcW w:w="1775" w:type="dxa"/>
            <w:gridSpan w:val="2"/>
            <w:vAlign w:val="center"/>
          </w:tcPr>
          <w:p>
            <w:pPr>
              <w:widowControl/>
              <w:jc w:val="center"/>
              <w:rPr>
                <w:sz w:val="24"/>
                <w:szCs w:val="24"/>
              </w:rPr>
            </w:pPr>
            <w:r>
              <w:rPr>
                <w:rFonts w:hint="eastAsia"/>
                <w:sz w:val="24"/>
                <w:szCs w:val="24"/>
              </w:rPr>
              <w:t>LW</w:t>
            </w:r>
          </w:p>
        </w:tc>
        <w:tc>
          <w:tcPr>
            <w:tcW w:w="1775" w:type="dxa"/>
            <w:gridSpan w:val="2"/>
            <w:vAlign w:val="center"/>
          </w:tcPr>
          <w:p>
            <w:pPr>
              <w:widowControl/>
              <w:jc w:val="center"/>
              <w:rPr>
                <w:sz w:val="24"/>
                <w:szCs w:val="24"/>
              </w:rPr>
            </w:pPr>
            <w:r>
              <w:rPr>
                <w:rFonts w:hint="eastAsia"/>
                <w:sz w:val="24"/>
                <w:szCs w:val="24"/>
              </w:rPr>
              <w:t>QT</w:t>
            </w:r>
          </w:p>
        </w:tc>
      </w:tr>
    </w:tbl>
    <w:p>
      <w:pPr>
        <w:widowControl/>
        <w:spacing w:line="360" w:lineRule="auto"/>
        <w:ind w:firstLine="560" w:firstLineChars="200"/>
        <w:jc w:val="left"/>
        <w:rPr>
          <w:sz w:val="28"/>
          <w:szCs w:val="28"/>
        </w:rPr>
      </w:pPr>
      <w:r>
        <w:rPr>
          <w:rFonts w:hint="eastAsia"/>
          <w:sz w:val="28"/>
          <w:szCs w:val="28"/>
        </w:rPr>
        <w:t>单课程班分成若干份保存的，其标识采用分数表示法。例如：2015-2016学年第二学期口腔医学系第一门课程分成7份，试卷顺序号为001，试卷编号及第一份卷袋标识为：1516-2-KQ-SJ-001，1/7。</w:t>
      </w:r>
    </w:p>
    <w:p>
      <w:pPr>
        <w:widowControl/>
        <w:spacing w:line="360" w:lineRule="auto"/>
        <w:ind w:firstLine="560" w:firstLineChars="200"/>
        <w:jc w:val="left"/>
        <w:rPr>
          <w:sz w:val="28"/>
          <w:szCs w:val="28"/>
        </w:rPr>
      </w:pPr>
      <w:r>
        <w:rPr>
          <w:rFonts w:hint="eastAsia"/>
          <w:sz w:val="28"/>
          <w:szCs w:val="28"/>
        </w:rPr>
        <w:t>所有课程由各学系统一根据学期教学任务表对每门课程教学班序号进行编号。应在考试结束后1个月内，在已有试卷档案袋的填写试卷编号，填写“试卷存档目录（见附件12）”，造册归档保存。</w:t>
      </w:r>
    </w:p>
    <w:p>
      <w:pPr>
        <w:widowControl/>
        <w:spacing w:line="360" w:lineRule="auto"/>
        <w:ind w:firstLine="420" w:firstLineChars="200"/>
        <w:jc w:val="left"/>
        <w:rPr>
          <w:sz w:val="28"/>
          <w:szCs w:val="28"/>
        </w:rPr>
      </w:pPr>
      <w:r>
        <w:drawing>
          <wp:inline distT="0" distB="0" distL="0" distR="0">
            <wp:extent cx="5274310" cy="262890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4"/>
                    <a:stretch>
                      <a:fillRect/>
                    </a:stretch>
                  </pic:blipFill>
                  <pic:spPr>
                    <a:xfrm>
                      <a:off x="0" y="0"/>
                      <a:ext cx="5274310" cy="2629219"/>
                    </a:xfrm>
                    <a:prstGeom prst="rect">
                      <a:avLst/>
                    </a:prstGeom>
                  </pic:spPr>
                </pic:pic>
              </a:graphicData>
            </a:graphic>
          </wp:inline>
        </w:drawing>
      </w:r>
    </w:p>
    <w:p>
      <w:pPr>
        <w:rPr>
          <w:rFonts w:ascii="黑体" w:hAnsi="黑体" w:eastAsia="黑体"/>
          <w:sz w:val="28"/>
          <w:szCs w:val="28"/>
        </w:rPr>
      </w:pPr>
      <w:r>
        <w:rPr>
          <w:rFonts w:hint="eastAsia" w:ascii="黑体" w:hAnsi="黑体" w:eastAsia="黑体"/>
          <w:sz w:val="28"/>
          <w:szCs w:val="28"/>
        </w:rPr>
        <w:t>四、课程教学资料装订</w:t>
      </w:r>
    </w:p>
    <w:p>
      <w:pPr>
        <w:widowControl/>
        <w:spacing w:line="360" w:lineRule="auto"/>
        <w:ind w:firstLine="560" w:firstLineChars="200"/>
        <w:jc w:val="left"/>
        <w:rPr>
          <w:sz w:val="28"/>
          <w:szCs w:val="28"/>
        </w:rPr>
      </w:pPr>
      <w:r>
        <w:rPr>
          <w:rFonts w:hint="eastAsia"/>
          <w:sz w:val="28"/>
          <w:szCs w:val="28"/>
        </w:rPr>
        <w:t>课程教学资料装订归档由课程所在系部/教研室装订成册。所有一律采用A4纸打印。</w:t>
      </w:r>
    </w:p>
    <w:p>
      <w:pPr>
        <w:widowControl/>
        <w:spacing w:line="360" w:lineRule="auto"/>
        <w:ind w:firstLine="560" w:firstLineChars="200"/>
        <w:jc w:val="left"/>
        <w:rPr>
          <w:sz w:val="28"/>
          <w:szCs w:val="28"/>
        </w:rPr>
      </w:pPr>
      <w:r>
        <w:rPr>
          <w:rFonts w:hint="eastAsia"/>
          <w:sz w:val="28"/>
          <w:szCs w:val="28"/>
        </w:rPr>
        <w:t>1.材料范围</w:t>
      </w:r>
    </w:p>
    <w:p>
      <w:pPr>
        <w:widowControl/>
        <w:spacing w:line="360" w:lineRule="auto"/>
        <w:ind w:firstLine="560" w:firstLineChars="200"/>
        <w:jc w:val="left"/>
        <w:rPr>
          <w:sz w:val="28"/>
          <w:szCs w:val="28"/>
        </w:rPr>
      </w:pPr>
      <w:r>
        <w:rPr>
          <w:rFonts w:hint="eastAsia"/>
          <w:sz w:val="28"/>
          <w:szCs w:val="28"/>
        </w:rPr>
        <w:t>课程标准、实验指导/实验教程、考试大纲、教案、评定方法、教学日历表、课程教学总结。</w:t>
      </w:r>
    </w:p>
    <w:p>
      <w:pPr>
        <w:widowControl/>
        <w:spacing w:line="360" w:lineRule="auto"/>
        <w:ind w:firstLine="560" w:firstLineChars="200"/>
        <w:jc w:val="left"/>
        <w:rPr>
          <w:sz w:val="28"/>
          <w:szCs w:val="28"/>
        </w:rPr>
      </w:pPr>
      <w:r>
        <w:rPr>
          <w:rFonts w:hint="eastAsia"/>
          <w:sz w:val="28"/>
          <w:szCs w:val="28"/>
        </w:rPr>
        <w:t>2.装订要求</w:t>
      </w:r>
    </w:p>
    <w:p>
      <w:pPr>
        <w:widowControl/>
        <w:spacing w:line="360" w:lineRule="auto"/>
        <w:ind w:firstLine="560" w:firstLineChars="200"/>
        <w:jc w:val="left"/>
        <w:rPr>
          <w:rFonts w:hint="eastAsia"/>
          <w:sz w:val="28"/>
          <w:szCs w:val="28"/>
        </w:rPr>
      </w:pPr>
      <w:r>
        <w:rPr>
          <w:rFonts w:hint="eastAsia"/>
          <w:sz w:val="28"/>
          <w:szCs w:val="28"/>
        </w:rPr>
        <w:t>日常课程教学资料按照要求</w:t>
      </w:r>
      <w:r>
        <w:rPr>
          <w:rFonts w:hint="eastAsia"/>
          <w:sz w:val="28"/>
          <w:szCs w:val="28"/>
          <w:lang w:val="en-US" w:eastAsia="zh-CN"/>
        </w:rPr>
        <w:t>一正三附件方式装订</w:t>
      </w:r>
      <w:r>
        <w:rPr>
          <w:rFonts w:hint="eastAsia"/>
          <w:sz w:val="28"/>
          <w:szCs w:val="28"/>
        </w:rPr>
        <w:t>。</w:t>
      </w:r>
    </w:p>
    <w:p>
      <w:pPr>
        <w:widowControl/>
        <w:spacing w:line="360" w:lineRule="auto"/>
        <w:ind w:firstLine="560" w:firstLineChars="200"/>
        <w:jc w:val="left"/>
        <w:rPr>
          <w:rFonts w:hint="eastAsia"/>
          <w:sz w:val="28"/>
          <w:szCs w:val="28"/>
        </w:rPr>
      </w:pPr>
      <w:r>
        <w:rPr>
          <w:rFonts w:hint="eastAsia"/>
          <w:sz w:val="28"/>
          <w:szCs w:val="28"/>
        </w:rPr>
        <w:t xml:space="preserve">2.1 </w:t>
      </w:r>
      <w:r>
        <w:rPr>
          <w:rFonts w:hint="eastAsia"/>
          <w:sz w:val="28"/>
          <w:szCs w:val="28"/>
          <w:lang w:eastAsia="zh-CN"/>
        </w:rPr>
        <w:t>一正</w:t>
      </w:r>
      <w:r>
        <w:rPr>
          <w:rFonts w:hint="eastAsia"/>
          <w:sz w:val="28"/>
          <w:szCs w:val="28"/>
        </w:rPr>
        <w:t>：</w:t>
      </w:r>
      <w:r>
        <w:rPr>
          <w:rFonts w:hint="eastAsia" w:cs="宋体"/>
          <w:sz w:val="30"/>
          <w:szCs w:val="30"/>
        </w:rPr>
        <w:t>教学进度表</w:t>
      </w:r>
      <w:r>
        <w:rPr>
          <w:sz w:val="30"/>
          <w:szCs w:val="30"/>
        </w:rPr>
        <w:t>/</w:t>
      </w:r>
      <w:r>
        <w:rPr>
          <w:rFonts w:hint="eastAsia" w:cs="宋体"/>
          <w:sz w:val="30"/>
          <w:szCs w:val="30"/>
        </w:rPr>
        <w:t>日历表</w:t>
      </w:r>
      <w:r>
        <w:rPr>
          <w:rFonts w:hint="eastAsia" w:cs="宋体"/>
          <w:sz w:val="30"/>
          <w:szCs w:val="30"/>
          <w:lang w:eastAsia="zh-CN"/>
        </w:rPr>
        <w:t>、</w:t>
      </w:r>
      <w:r>
        <w:rPr>
          <w:rFonts w:hint="eastAsia" w:cs="宋体"/>
          <w:sz w:val="30"/>
          <w:szCs w:val="30"/>
        </w:rPr>
        <w:t>试卷送印审批单</w:t>
      </w:r>
      <w:r>
        <w:rPr>
          <w:rFonts w:hint="eastAsia" w:cs="宋体"/>
          <w:sz w:val="30"/>
          <w:szCs w:val="30"/>
          <w:lang w:eastAsia="zh-CN"/>
        </w:rPr>
        <w:t>、</w:t>
      </w:r>
      <w:r>
        <w:rPr>
          <w:sz w:val="30"/>
          <w:szCs w:val="30"/>
        </w:rPr>
        <w:t>A/B</w:t>
      </w:r>
      <w:r>
        <w:rPr>
          <w:rFonts w:hint="eastAsia" w:cs="宋体"/>
          <w:sz w:val="30"/>
          <w:szCs w:val="30"/>
        </w:rPr>
        <w:t>空白试卷及标准答案</w:t>
      </w:r>
      <w:r>
        <w:rPr>
          <w:rFonts w:hint="eastAsia" w:cs="宋体"/>
          <w:sz w:val="30"/>
          <w:szCs w:val="30"/>
          <w:lang w:eastAsia="zh-CN"/>
        </w:rPr>
        <w:t>、</w:t>
      </w:r>
      <w:r>
        <w:rPr>
          <w:rFonts w:hint="eastAsia" w:cs="宋体"/>
          <w:sz w:val="30"/>
          <w:szCs w:val="30"/>
        </w:rPr>
        <w:t>试卷质量分析表</w:t>
      </w:r>
      <w:r>
        <w:rPr>
          <w:rFonts w:hint="eastAsia" w:cs="宋体"/>
          <w:sz w:val="30"/>
          <w:szCs w:val="30"/>
          <w:lang w:eastAsia="zh-CN"/>
        </w:rPr>
        <w:t>、</w:t>
      </w:r>
      <w:r>
        <w:rPr>
          <w:rFonts w:hint="eastAsia" w:cs="宋体"/>
          <w:sz w:val="30"/>
          <w:szCs w:val="30"/>
        </w:rPr>
        <w:t>平时成绩评定方法（含点名册）</w:t>
      </w:r>
      <w:r>
        <w:rPr>
          <w:rFonts w:hint="eastAsia" w:cs="宋体"/>
          <w:sz w:val="30"/>
          <w:szCs w:val="30"/>
          <w:lang w:eastAsia="zh-CN"/>
        </w:rPr>
        <w:t>、</w:t>
      </w:r>
      <w:r>
        <w:rPr>
          <w:rFonts w:hint="eastAsia" w:cs="宋体"/>
          <w:sz w:val="30"/>
          <w:szCs w:val="30"/>
        </w:rPr>
        <w:t>成绩登记表</w:t>
      </w:r>
      <w:r>
        <w:rPr>
          <w:rFonts w:hint="eastAsia" w:cs="宋体"/>
          <w:sz w:val="30"/>
          <w:szCs w:val="30"/>
          <w:lang w:eastAsia="zh-CN"/>
        </w:rPr>
        <w:t>、</w:t>
      </w:r>
      <w:r>
        <w:rPr>
          <w:rFonts w:hint="eastAsia" w:cs="宋体"/>
          <w:sz w:val="30"/>
          <w:szCs w:val="30"/>
        </w:rPr>
        <w:t>考试卷面成绩分析表</w:t>
      </w:r>
      <w:r>
        <w:rPr>
          <w:rFonts w:hint="eastAsia" w:cs="宋体"/>
          <w:sz w:val="30"/>
          <w:szCs w:val="30"/>
          <w:lang w:eastAsia="zh-CN"/>
        </w:rPr>
        <w:t>、</w:t>
      </w:r>
      <w:r>
        <w:rPr>
          <w:rFonts w:hint="eastAsia" w:cs="宋体"/>
          <w:sz w:val="30"/>
          <w:szCs w:val="30"/>
        </w:rPr>
        <w:t>课程教学总结</w:t>
      </w:r>
      <w:r>
        <w:rPr>
          <w:rFonts w:hint="eastAsia" w:cs="宋体"/>
          <w:sz w:val="30"/>
          <w:szCs w:val="30"/>
          <w:lang w:eastAsia="zh-CN"/>
        </w:rPr>
        <w:t>（参照格式见附件</w:t>
      </w:r>
      <w:r>
        <w:rPr>
          <w:rFonts w:hint="eastAsia" w:cs="宋体"/>
          <w:sz w:val="30"/>
          <w:szCs w:val="30"/>
          <w:lang w:val="en-US" w:eastAsia="zh-CN"/>
        </w:rPr>
        <w:t>14</w:t>
      </w:r>
      <w:r>
        <w:rPr>
          <w:rFonts w:hint="eastAsia" w:cs="宋体"/>
          <w:sz w:val="30"/>
          <w:szCs w:val="30"/>
          <w:lang w:eastAsia="zh-CN"/>
        </w:rPr>
        <w:t>）统一装订</w:t>
      </w:r>
      <w:r>
        <w:rPr>
          <w:rFonts w:hint="eastAsia"/>
          <w:sz w:val="28"/>
          <w:szCs w:val="28"/>
        </w:rPr>
        <w:t>，使用统一封面（见附件1</w:t>
      </w:r>
      <w:r>
        <w:rPr>
          <w:rFonts w:hint="eastAsia"/>
          <w:sz w:val="28"/>
          <w:szCs w:val="28"/>
          <w:lang w:val="en-US" w:eastAsia="zh-CN"/>
        </w:rPr>
        <w:t>5</w:t>
      </w:r>
      <w:r>
        <w:rPr>
          <w:rFonts w:hint="eastAsia"/>
          <w:sz w:val="28"/>
          <w:szCs w:val="28"/>
        </w:rPr>
        <w:t>）。</w:t>
      </w:r>
    </w:p>
    <w:p>
      <w:pPr>
        <w:widowControl/>
        <w:spacing w:line="360" w:lineRule="auto"/>
        <w:ind w:firstLine="560" w:firstLineChars="200"/>
        <w:jc w:val="left"/>
        <w:rPr>
          <w:rFonts w:hint="eastAsia" w:eastAsiaTheme="minorEastAsia"/>
          <w:sz w:val="28"/>
          <w:szCs w:val="28"/>
          <w:lang w:val="en-US" w:eastAsia="zh-CN"/>
        </w:rPr>
      </w:pPr>
      <w:r>
        <w:rPr>
          <w:rFonts w:hint="eastAsia"/>
          <w:sz w:val="28"/>
          <w:szCs w:val="28"/>
          <w:lang w:val="en-US" w:eastAsia="zh-CN"/>
        </w:rPr>
        <w:t>2.2三附件：</w:t>
      </w:r>
    </w:p>
    <w:p>
      <w:pPr>
        <w:widowControl/>
        <w:spacing w:line="360" w:lineRule="auto"/>
        <w:ind w:firstLine="560" w:firstLineChars="200"/>
        <w:jc w:val="left"/>
        <w:rPr>
          <w:rFonts w:hint="eastAsia"/>
          <w:sz w:val="28"/>
          <w:szCs w:val="28"/>
          <w:lang w:eastAsia="zh-CN"/>
        </w:rPr>
      </w:pPr>
      <w:r>
        <w:rPr>
          <w:rFonts w:hint="eastAsia"/>
          <w:sz w:val="28"/>
          <w:szCs w:val="28"/>
          <w:lang w:val="en-US" w:eastAsia="zh-CN"/>
        </w:rPr>
        <w:t>2.2.1</w:t>
      </w:r>
      <w:r>
        <w:rPr>
          <w:rFonts w:hint="eastAsia" w:cs="宋体"/>
          <w:sz w:val="30"/>
          <w:szCs w:val="30"/>
        </w:rPr>
        <w:t>试卷装订册</w:t>
      </w:r>
      <w:r>
        <w:rPr>
          <w:rFonts w:hint="eastAsia" w:cs="宋体"/>
          <w:sz w:val="30"/>
          <w:szCs w:val="30"/>
          <w:lang w:eastAsia="zh-CN"/>
        </w:rPr>
        <w:t>：认真填写</w:t>
      </w:r>
      <w:r>
        <w:rPr>
          <w:rFonts w:hint="eastAsia"/>
          <w:sz w:val="28"/>
          <w:szCs w:val="28"/>
        </w:rPr>
        <w:t>“试卷归档封面”（见附件3）</w:t>
      </w:r>
      <w:r>
        <w:rPr>
          <w:rFonts w:hint="eastAsia"/>
          <w:sz w:val="28"/>
          <w:szCs w:val="28"/>
          <w:lang w:eastAsia="zh-CN"/>
        </w:rPr>
        <w:t>并做好装订，主要装订答题卷，试题部分不做要求。</w:t>
      </w:r>
    </w:p>
    <w:p>
      <w:pPr>
        <w:widowControl/>
        <w:spacing w:line="360" w:lineRule="auto"/>
        <w:ind w:firstLine="560" w:firstLineChars="200"/>
        <w:jc w:val="left"/>
        <w:rPr>
          <w:rFonts w:hint="eastAsia"/>
          <w:sz w:val="28"/>
          <w:szCs w:val="28"/>
        </w:rPr>
      </w:pPr>
      <w:r>
        <w:rPr>
          <w:rFonts w:hint="eastAsia"/>
          <w:sz w:val="28"/>
          <w:szCs w:val="28"/>
          <w:lang w:val="en-US" w:eastAsia="zh-CN"/>
        </w:rPr>
        <w:t>2.2.2</w:t>
      </w:r>
      <w:r>
        <w:rPr>
          <w:rFonts w:hint="eastAsia" w:cs="宋体"/>
          <w:sz w:val="30"/>
          <w:szCs w:val="30"/>
        </w:rPr>
        <w:t>教案装订册</w:t>
      </w:r>
      <w:r>
        <w:rPr>
          <w:rFonts w:hint="eastAsia" w:cs="宋体"/>
          <w:sz w:val="30"/>
          <w:szCs w:val="30"/>
          <w:lang w:eastAsia="zh-CN"/>
        </w:rPr>
        <w:t>：</w:t>
      </w:r>
      <w:r>
        <w:rPr>
          <w:rFonts w:hint="eastAsia"/>
          <w:sz w:val="28"/>
          <w:szCs w:val="28"/>
        </w:rPr>
        <w:t>教案</w:t>
      </w:r>
      <w:r>
        <w:rPr>
          <w:rFonts w:hint="eastAsia"/>
          <w:color w:val="FF0000"/>
          <w:sz w:val="28"/>
          <w:szCs w:val="28"/>
        </w:rPr>
        <w:t>（格式见附件15）</w:t>
      </w:r>
      <w:r>
        <w:rPr>
          <w:rFonts w:hint="eastAsia"/>
          <w:sz w:val="28"/>
          <w:szCs w:val="28"/>
        </w:rPr>
        <w:t>要求</w:t>
      </w:r>
      <w:r>
        <w:rPr>
          <w:rFonts w:hint="eastAsia"/>
          <w:color w:val="FF0000"/>
          <w:sz w:val="28"/>
          <w:szCs w:val="28"/>
        </w:rPr>
        <w:t>单独</w:t>
      </w:r>
      <w:r>
        <w:rPr>
          <w:rFonts w:hint="eastAsia"/>
          <w:sz w:val="28"/>
          <w:szCs w:val="28"/>
        </w:rPr>
        <w:t>装订成册。要求每学期课程结束后即可上交教研室1份。</w:t>
      </w:r>
    </w:p>
    <w:p>
      <w:pPr>
        <w:widowControl/>
        <w:spacing w:line="360" w:lineRule="auto"/>
        <w:ind w:firstLine="560" w:firstLineChars="200"/>
        <w:jc w:val="left"/>
        <w:rPr>
          <w:rFonts w:hint="eastAsia" w:eastAsiaTheme="minorEastAsia"/>
          <w:sz w:val="28"/>
          <w:szCs w:val="28"/>
          <w:lang w:val="en-US" w:eastAsia="zh-CN"/>
        </w:rPr>
      </w:pPr>
      <w:r>
        <w:rPr>
          <w:rFonts w:hint="eastAsia"/>
          <w:sz w:val="28"/>
          <w:szCs w:val="28"/>
          <w:lang w:val="en-US" w:eastAsia="zh-CN"/>
        </w:rPr>
        <w:t>2.2.3</w:t>
      </w:r>
      <w:r>
        <w:rPr>
          <w:rFonts w:hint="eastAsia" w:cs="宋体"/>
          <w:sz w:val="30"/>
          <w:szCs w:val="30"/>
        </w:rPr>
        <w:t>平时成绩支撑材料</w:t>
      </w:r>
      <w:r>
        <w:rPr>
          <w:rFonts w:hint="eastAsia" w:cs="宋体"/>
          <w:sz w:val="30"/>
          <w:szCs w:val="30"/>
          <w:lang w:eastAsia="zh-CN"/>
        </w:rPr>
        <w:t>：平时成绩均使用统一封面（见附件</w:t>
      </w:r>
      <w:r>
        <w:rPr>
          <w:rFonts w:hint="eastAsia" w:cs="宋体"/>
          <w:sz w:val="30"/>
          <w:szCs w:val="30"/>
          <w:lang w:val="en-US" w:eastAsia="zh-CN"/>
        </w:rPr>
        <w:t>8，教务科统一领取</w:t>
      </w:r>
      <w:r>
        <w:rPr>
          <w:rFonts w:hint="eastAsia" w:cs="宋体"/>
          <w:sz w:val="30"/>
          <w:szCs w:val="30"/>
          <w:lang w:eastAsia="zh-CN"/>
        </w:rPr>
        <w:t>）。每门课程平时成绩支撑材料不少于</w:t>
      </w:r>
      <w:r>
        <w:rPr>
          <w:rFonts w:hint="eastAsia" w:cs="宋体"/>
          <w:sz w:val="30"/>
          <w:szCs w:val="30"/>
          <w:lang w:val="en-US" w:eastAsia="zh-CN"/>
        </w:rPr>
        <w:t>2项。</w:t>
      </w:r>
    </w:p>
    <w:p>
      <w:pPr>
        <w:widowControl/>
        <w:spacing w:line="360" w:lineRule="auto"/>
        <w:ind w:firstLine="560" w:firstLineChars="200"/>
        <w:jc w:val="left"/>
        <w:rPr>
          <w:color w:val="FF0000"/>
          <w:sz w:val="28"/>
          <w:szCs w:val="28"/>
        </w:rPr>
      </w:pPr>
      <w:r>
        <w:rPr>
          <w:rFonts w:hint="eastAsia"/>
          <w:color w:val="FF0000"/>
          <w:sz w:val="28"/>
          <w:szCs w:val="28"/>
          <w:lang w:val="en-US" w:eastAsia="zh-CN"/>
        </w:rPr>
        <w:t>3.实验指导书（见附件13）或</w:t>
      </w:r>
      <w:r>
        <w:rPr>
          <w:rFonts w:hint="eastAsia"/>
          <w:color w:val="FF0000"/>
          <w:sz w:val="28"/>
          <w:szCs w:val="28"/>
        </w:rPr>
        <w:t>在课程教学改革等方面具有特色的典型案例资料</w:t>
      </w:r>
      <w:r>
        <w:rPr>
          <w:rFonts w:hint="eastAsia"/>
          <w:color w:val="FF0000"/>
          <w:sz w:val="28"/>
          <w:szCs w:val="28"/>
          <w:lang w:eastAsia="zh-CN"/>
        </w:rPr>
        <w:t>，另行装订</w:t>
      </w:r>
      <w:r>
        <w:rPr>
          <w:rFonts w:hint="eastAsia"/>
          <w:color w:val="FF0000"/>
          <w:sz w:val="28"/>
          <w:szCs w:val="28"/>
        </w:rPr>
        <w:t>。在课程教学改革等方面具有特色的典型案例资料主要为体现在学生对课程学习的反馈情况，如何促进学生的学习与发展等资料。</w:t>
      </w:r>
    </w:p>
    <w:p>
      <w:pPr>
        <w:widowControl/>
        <w:spacing w:line="360" w:lineRule="auto"/>
        <w:ind w:firstLine="560" w:firstLineChars="200"/>
        <w:jc w:val="left"/>
        <w:rPr>
          <w:sz w:val="28"/>
          <w:szCs w:val="28"/>
        </w:rPr>
      </w:pPr>
      <w:r>
        <w:rPr>
          <w:rFonts w:hint="eastAsia"/>
          <w:sz w:val="28"/>
          <w:szCs w:val="28"/>
        </w:rPr>
        <w:t>4</w:t>
      </w:r>
      <w:r>
        <w:rPr>
          <w:rFonts w:hint="eastAsia"/>
          <w:sz w:val="28"/>
          <w:szCs w:val="28"/>
          <w:lang w:val="en-US" w:eastAsia="zh-CN"/>
        </w:rPr>
        <w:t>.</w:t>
      </w:r>
      <w:r>
        <w:rPr>
          <w:rFonts w:hint="eastAsia"/>
          <w:sz w:val="28"/>
          <w:szCs w:val="28"/>
        </w:rPr>
        <w:t xml:space="preserve"> 课程教学资料装订成册后由教研室或系部保存，并做好目录备查</w:t>
      </w:r>
      <w:r>
        <w:rPr>
          <w:rFonts w:hint="eastAsia"/>
          <w:sz w:val="28"/>
          <w:szCs w:val="28"/>
          <w:lang w:eastAsia="zh-CN"/>
        </w:rPr>
        <w:t>。</w:t>
      </w:r>
    </w:p>
    <w:p>
      <w:pPr>
        <w:rPr>
          <w:rFonts w:ascii="黑体" w:hAnsi="黑体" w:eastAsia="黑体"/>
          <w:sz w:val="28"/>
          <w:szCs w:val="28"/>
        </w:rPr>
      </w:pPr>
      <w:r>
        <w:rPr>
          <w:rFonts w:hint="eastAsia" w:ascii="黑体" w:hAnsi="黑体" w:eastAsia="黑体"/>
          <w:sz w:val="28"/>
          <w:szCs w:val="28"/>
        </w:rPr>
        <w:t>五、其他要求</w:t>
      </w:r>
    </w:p>
    <w:p>
      <w:pPr>
        <w:widowControl/>
        <w:spacing w:line="360" w:lineRule="auto"/>
        <w:ind w:firstLine="560" w:firstLineChars="200"/>
        <w:jc w:val="left"/>
        <w:rPr>
          <w:sz w:val="28"/>
          <w:szCs w:val="28"/>
        </w:rPr>
      </w:pPr>
      <w:r>
        <w:rPr>
          <w:rFonts w:hint="eastAsia"/>
          <w:sz w:val="28"/>
          <w:szCs w:val="28"/>
        </w:rPr>
        <w:t>1.为便于归档，笔试试卷统一采用答题卷，试题卷与答题卷分开。</w:t>
      </w:r>
    </w:p>
    <w:p>
      <w:pPr>
        <w:widowControl/>
        <w:spacing w:line="360" w:lineRule="auto"/>
        <w:ind w:firstLine="560" w:firstLineChars="200"/>
        <w:jc w:val="left"/>
        <w:rPr>
          <w:sz w:val="28"/>
          <w:szCs w:val="28"/>
        </w:rPr>
      </w:pPr>
      <w:r>
        <w:rPr>
          <w:rFonts w:hint="eastAsia"/>
          <w:sz w:val="28"/>
          <w:szCs w:val="28"/>
        </w:rPr>
        <w:t>2.各学系部于次年10月前将上一学年归档资料存放在指定地点。</w:t>
      </w:r>
    </w:p>
    <w:p>
      <w:pPr>
        <w:widowControl/>
        <w:spacing w:line="360" w:lineRule="auto"/>
        <w:ind w:firstLine="560" w:firstLineChars="200"/>
        <w:jc w:val="left"/>
        <w:rPr>
          <w:sz w:val="28"/>
          <w:szCs w:val="28"/>
        </w:rPr>
      </w:pPr>
    </w:p>
    <w:p>
      <w:pPr>
        <w:widowControl/>
        <w:spacing w:line="360" w:lineRule="auto"/>
        <w:ind w:firstLine="560" w:firstLineChars="200"/>
        <w:jc w:val="left"/>
        <w:rPr>
          <w:color w:val="FF0000"/>
          <w:sz w:val="28"/>
          <w:szCs w:val="28"/>
        </w:rPr>
      </w:pPr>
    </w:p>
    <w:p>
      <w:pPr>
        <w:widowControl/>
        <w:spacing w:line="360" w:lineRule="auto"/>
        <w:ind w:firstLine="560" w:firstLineChars="200"/>
        <w:jc w:val="right"/>
        <w:rPr>
          <w:sz w:val="28"/>
          <w:szCs w:val="28"/>
        </w:rPr>
      </w:pPr>
      <w:r>
        <w:rPr>
          <w:rFonts w:hint="eastAsia"/>
          <w:color w:val="FF0000"/>
          <w:sz w:val="28"/>
          <w:szCs w:val="28"/>
        </w:rPr>
        <w:t>二〇一</w:t>
      </w:r>
      <w:r>
        <w:rPr>
          <w:rFonts w:hint="eastAsia"/>
          <w:color w:val="FF0000"/>
          <w:sz w:val="28"/>
          <w:szCs w:val="28"/>
          <w:lang w:eastAsia="zh-CN"/>
        </w:rPr>
        <w:t>七</w:t>
      </w:r>
      <w:r>
        <w:rPr>
          <w:rFonts w:hint="eastAsia"/>
          <w:color w:val="FF0000"/>
          <w:sz w:val="28"/>
          <w:szCs w:val="28"/>
        </w:rPr>
        <w:t>年</w:t>
      </w:r>
      <w:r>
        <w:rPr>
          <w:rFonts w:hint="eastAsia"/>
          <w:color w:val="FF0000"/>
          <w:sz w:val="28"/>
          <w:szCs w:val="28"/>
          <w:lang w:eastAsia="zh-CN"/>
        </w:rPr>
        <w:t>十二</w:t>
      </w:r>
      <w:r>
        <w:rPr>
          <w:rFonts w:hint="eastAsia"/>
          <w:color w:val="FF0000"/>
          <w:sz w:val="28"/>
          <w:szCs w:val="28"/>
        </w:rPr>
        <w:t>月</w:t>
      </w:r>
      <w:r>
        <w:rPr>
          <w:rFonts w:hint="eastAsia"/>
          <w:color w:val="FF0000"/>
          <w:sz w:val="28"/>
          <w:szCs w:val="28"/>
          <w:lang w:eastAsia="zh-CN"/>
        </w:rPr>
        <w:t>十三</w:t>
      </w:r>
      <w:bookmarkStart w:id="0" w:name="_GoBack"/>
      <w:bookmarkEnd w:id="0"/>
      <w:r>
        <w:rPr>
          <w:rFonts w:hint="eastAsia"/>
          <w:color w:val="FF000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4FB"/>
    <w:rsid w:val="00014231"/>
    <w:rsid w:val="00041821"/>
    <w:rsid w:val="00081C72"/>
    <w:rsid w:val="000A3CD8"/>
    <w:rsid w:val="001062FF"/>
    <w:rsid w:val="00132308"/>
    <w:rsid w:val="0014668F"/>
    <w:rsid w:val="0018705C"/>
    <w:rsid w:val="001F49B6"/>
    <w:rsid w:val="00230A69"/>
    <w:rsid w:val="00253BA2"/>
    <w:rsid w:val="002B1260"/>
    <w:rsid w:val="002B388E"/>
    <w:rsid w:val="002D1326"/>
    <w:rsid w:val="002D610F"/>
    <w:rsid w:val="00364BE3"/>
    <w:rsid w:val="003832E5"/>
    <w:rsid w:val="003C6B98"/>
    <w:rsid w:val="00487EA4"/>
    <w:rsid w:val="0049196B"/>
    <w:rsid w:val="004C6828"/>
    <w:rsid w:val="0052020F"/>
    <w:rsid w:val="00557687"/>
    <w:rsid w:val="00576155"/>
    <w:rsid w:val="005A4FEF"/>
    <w:rsid w:val="005C0749"/>
    <w:rsid w:val="005C52B1"/>
    <w:rsid w:val="005E2D7A"/>
    <w:rsid w:val="006204FB"/>
    <w:rsid w:val="00626B6E"/>
    <w:rsid w:val="00657C6B"/>
    <w:rsid w:val="00667ACF"/>
    <w:rsid w:val="00672E57"/>
    <w:rsid w:val="006966E7"/>
    <w:rsid w:val="006976D7"/>
    <w:rsid w:val="007B2EC1"/>
    <w:rsid w:val="007C2EF2"/>
    <w:rsid w:val="007C7CD7"/>
    <w:rsid w:val="007F49E7"/>
    <w:rsid w:val="00835700"/>
    <w:rsid w:val="00837673"/>
    <w:rsid w:val="008507B8"/>
    <w:rsid w:val="00872C87"/>
    <w:rsid w:val="00875C70"/>
    <w:rsid w:val="008B0C0C"/>
    <w:rsid w:val="00905EA2"/>
    <w:rsid w:val="00966A64"/>
    <w:rsid w:val="009671D6"/>
    <w:rsid w:val="009E41DE"/>
    <w:rsid w:val="009E5D26"/>
    <w:rsid w:val="00A25C98"/>
    <w:rsid w:val="00A52FE9"/>
    <w:rsid w:val="00A746C0"/>
    <w:rsid w:val="00AA363B"/>
    <w:rsid w:val="00AC5C47"/>
    <w:rsid w:val="00B1651C"/>
    <w:rsid w:val="00B5687F"/>
    <w:rsid w:val="00B74AC2"/>
    <w:rsid w:val="00BA545E"/>
    <w:rsid w:val="00C14248"/>
    <w:rsid w:val="00C717A4"/>
    <w:rsid w:val="00C75A38"/>
    <w:rsid w:val="00D20239"/>
    <w:rsid w:val="00DD4826"/>
    <w:rsid w:val="00E11C48"/>
    <w:rsid w:val="00E63D23"/>
    <w:rsid w:val="00E6443D"/>
    <w:rsid w:val="00E652D9"/>
    <w:rsid w:val="00EE2896"/>
    <w:rsid w:val="00F408C5"/>
    <w:rsid w:val="5A7F5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4"/>
    <w:unhideWhenUsed/>
    <w:qFormat/>
    <w:uiPriority w:val="99"/>
    <w:pPr>
      <w:widowControl/>
      <w:spacing w:before="100" w:beforeAutospacing="1" w:after="100" w:afterAutospacing="1"/>
      <w:jc w:val="left"/>
    </w:pPr>
    <w:rPr>
      <w:rFonts w:ascii="宋体" w:hAnsi="宋体" w:eastAsia="宋体" w:cs="宋体"/>
      <w:color w:val="000000"/>
      <w:kern w:val="0"/>
      <w:sz w:val="24"/>
      <w:szCs w:val="24"/>
    </w:rPr>
  </w:style>
  <w:style w:type="paragraph" w:styleId="3">
    <w:name w:val="Balloon Text"/>
    <w:basedOn w:val="1"/>
    <w:link w:val="10"/>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批注框文本 Char"/>
    <w:basedOn w:val="7"/>
    <w:link w:val="3"/>
    <w:semiHidden/>
    <w:uiPriority w:val="99"/>
    <w:rPr>
      <w:sz w:val="18"/>
      <w:szCs w:val="18"/>
    </w:rPr>
  </w:style>
  <w:style w:type="paragraph" w:styleId="11">
    <w:name w:val="List Paragraph"/>
    <w:basedOn w:val="1"/>
    <w:qFormat/>
    <w:uiPriority w:val="34"/>
    <w:pPr>
      <w:ind w:firstLine="420" w:firstLineChars="200"/>
    </w:pPr>
  </w:style>
  <w:style w:type="character" w:customStyle="1" w:styleId="12">
    <w:name w:val="页眉 Char"/>
    <w:basedOn w:val="7"/>
    <w:link w:val="5"/>
    <w:uiPriority w:val="99"/>
    <w:rPr>
      <w:sz w:val="18"/>
      <w:szCs w:val="18"/>
    </w:rPr>
  </w:style>
  <w:style w:type="character" w:customStyle="1" w:styleId="13">
    <w:name w:val="页脚 Char"/>
    <w:basedOn w:val="7"/>
    <w:link w:val="4"/>
    <w:qFormat/>
    <w:uiPriority w:val="99"/>
    <w:rPr>
      <w:sz w:val="18"/>
      <w:szCs w:val="18"/>
    </w:rPr>
  </w:style>
  <w:style w:type="character" w:customStyle="1" w:styleId="14">
    <w:name w:val="纯文本 Char"/>
    <w:basedOn w:val="7"/>
    <w:link w:val="2"/>
    <w:semiHidden/>
    <w:qFormat/>
    <w:uiPriority w:val="99"/>
    <w:rPr>
      <w:rFonts w:ascii="宋体" w:hAnsi="宋体" w:eastAsia="宋体" w:cs="宋体"/>
      <w:color w:val="000000"/>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356</Words>
  <Characters>2034</Characters>
  <Lines>16</Lines>
  <Paragraphs>4</Paragraphs>
  <TotalTime>0</TotalTime>
  <ScaleCrop>false</ScaleCrop>
  <LinksUpToDate>false</LinksUpToDate>
  <CharactersWithSpaces>2386</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2016-05-23T08:02:00Z</dcterms:created>
  <dc:creator>李达生</dc:creator>
  <cp:lastModifiedBy>人间</cp:lastModifiedBy>
  <dcterms:modified xsi:type="dcterms:W3CDTF">2017-12-13T01:21:58Z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