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eastAsia="宋体"/>
          <w:b/>
          <w:bCs/>
          <w:sz w:val="32"/>
          <w:szCs w:val="32"/>
          <w:lang w:eastAsia="zh-CN"/>
        </w:rPr>
      </w:pPr>
      <w:r>
        <w:rPr>
          <w:rFonts w:hint="eastAsia" w:cs="宋体"/>
          <w:b/>
          <w:bCs/>
          <w:sz w:val="36"/>
          <w:szCs w:val="36"/>
        </w:rPr>
        <w:t>丽水学院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《课程名称》</w:t>
      </w:r>
      <w:r>
        <w:rPr>
          <w:rFonts w:hint="eastAsia" w:ascii="宋体" w:hAnsi="宋体" w:cs="宋体"/>
          <w:b/>
          <w:bCs/>
          <w:sz w:val="32"/>
          <w:szCs w:val="32"/>
        </w:rPr>
        <w:t>课程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成绩构成分析</w:t>
      </w:r>
    </w:p>
    <w:p>
      <w:pPr>
        <w:widowControl/>
        <w:spacing w:line="360" w:lineRule="auto"/>
        <w:jc w:val="left"/>
        <w:rPr>
          <w:rFonts w:hint="eastAsia" w:cs="宋体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</w:rPr>
        <w:t>任课教师：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   </w:t>
      </w:r>
    </w:p>
    <w:p>
      <w:pPr>
        <w:widowControl/>
        <w:spacing w:line="360" w:lineRule="auto"/>
        <w:jc w:val="lef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学年学期：20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>-20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>学年第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学期</w:t>
      </w:r>
    </w:p>
    <w:tbl>
      <w:tblPr>
        <w:tblStyle w:val="4"/>
        <w:tblpPr w:leftFromText="180" w:rightFromText="180" w:vertAnchor="text" w:horzAnchor="margin" w:tblpY="154"/>
        <w:tblOverlap w:val="never"/>
        <w:tblW w:w="85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3134"/>
        <w:gridCol w:w="1633"/>
        <w:gridCol w:w="1439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0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构成</w:t>
            </w: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4"/>
                <w:szCs w:val="24"/>
                <w:lang w:eastAsia="zh-CN"/>
              </w:rPr>
              <w:t>分项构成</w:t>
            </w: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4"/>
                <w:szCs w:val="24"/>
                <w:lang w:eastAsia="zh-CN"/>
              </w:rPr>
              <w:t>分值</w:t>
            </w: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构成内占比</w:t>
            </w:r>
          </w:p>
        </w:tc>
        <w:tc>
          <w:tcPr>
            <w:tcW w:w="12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总占比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01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过程性</w:t>
            </w:r>
          </w:p>
          <w:p>
            <w:pPr>
              <w:widowControl/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评价</w:t>
            </w: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考勤</w:t>
            </w: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8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0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28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0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终结性评价</w:t>
            </w:r>
          </w:p>
        </w:tc>
        <w:tc>
          <w:tcPr>
            <w:tcW w:w="3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6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2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/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说明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过程性评价总占比不得低于50%，考查课程、独立实验课程等全程采用过程评价（不采用终结性评价（含期末考试）的课程总占比填写100%。终结性评价总占比不得超过50%。考试课程原则上为终结性评价占比40%-50%为宜。同一课程不同教学班原则上成绩构成一致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eastAsia="zh-CN"/>
        </w:rPr>
        <w:t>过程性评价分项构成主要有考勤、课堂表现、主题讨论、小组合作、专题研讨、线上学习、学生自评和互评、实验报告、实验操作、小测试、小论文等各类用于评价学生学习态度、能力以及学习效果的项目。</w:t>
      </w:r>
      <w:r>
        <w:rPr>
          <w:rFonts w:hint="eastAsia"/>
          <w:lang w:val="en-US" w:eastAsia="zh-CN"/>
        </w:rPr>
        <w:t>所有课程原则上需6项及以上，有总结性评价的课程不得少于4项，采用过程形成性评价的不得少于6项。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3.过程性评价和终结性评价均可采用百分制或等级制，采用百分制的需填写各分项构成的所占比例；采用等级制的只需标明其总计的所占比例。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总评成绩采用等级制的一般推荐五级制，包括优秀（90分及以上，统计是按95分计，绩点4.5）、良好（80-89分，统计是按85分计，绩点3.5）、中等（70-79分，统计是按75分计，绩点2.5）、及格（60-69分，统计是按65分计，绩点1.5）、不及格（60分以下，无绩点）。尽量不采用二级制，二级制包括合格（60分及以上，统计是按75分计，绩点2.5）、不合格（60分以下，无绩点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E5C"/>
    <w:rsid w:val="00081C72"/>
    <w:rsid w:val="001C1E5C"/>
    <w:rsid w:val="00230A69"/>
    <w:rsid w:val="00232517"/>
    <w:rsid w:val="00253BA2"/>
    <w:rsid w:val="002618B4"/>
    <w:rsid w:val="002B1260"/>
    <w:rsid w:val="00366431"/>
    <w:rsid w:val="003C2CB1"/>
    <w:rsid w:val="003C6111"/>
    <w:rsid w:val="005A4FEF"/>
    <w:rsid w:val="0070664A"/>
    <w:rsid w:val="00B21EC1"/>
    <w:rsid w:val="00C75A38"/>
    <w:rsid w:val="00CA7B86"/>
    <w:rsid w:val="01F37A1E"/>
    <w:rsid w:val="0E57152C"/>
    <w:rsid w:val="32EF5A1A"/>
    <w:rsid w:val="330F7DC9"/>
    <w:rsid w:val="340C084A"/>
    <w:rsid w:val="36F3578C"/>
    <w:rsid w:val="3A697193"/>
    <w:rsid w:val="3EF23566"/>
    <w:rsid w:val="44E05B84"/>
    <w:rsid w:val="46A63446"/>
    <w:rsid w:val="5BC32970"/>
    <w:rsid w:val="5DBD177B"/>
    <w:rsid w:val="6CF133F3"/>
    <w:rsid w:val="7AB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qFormat/>
    <w:locked/>
    <w:uiPriority w:val="99"/>
    <w:rPr>
      <w:sz w:val="18"/>
      <w:szCs w:val="18"/>
    </w:rPr>
  </w:style>
  <w:style w:type="character" w:customStyle="1" w:styleId="8">
    <w:name w:val="Footer Char"/>
    <w:basedOn w:val="6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25</Words>
  <Characters>143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2016-05-27T01:16:00Z</dcterms:created>
  <dc:creator>李达生</dc:creator>
  <cp:lastModifiedBy>人间</cp:lastModifiedBy>
  <dcterms:modified xsi:type="dcterms:W3CDTF">2021-11-01T03:21:37Z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